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UNIVERSIDAD DE COSTA RICA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PROGRAMA DE POSGRADO EN ESPECIALIDADES MÉDICAS</w:t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II CONVOCATORIA II ETAPA Y I EXTRAORDINARIO </w:t>
      </w:r>
    </w:p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PROCESO DE SELECCIÓN Y ADMISIÓN 2019-2020</w:t>
      </w:r>
    </w:p>
    <w:p w:rsidR="00000000" w:rsidDel="00000000" w:rsidP="00000000" w:rsidRDefault="00000000" w:rsidRPr="00000000" w14:paraId="00000006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II RESULTADOS PROVISIONALES</w:t>
      </w:r>
    </w:p>
    <w:p w:rsidR="00000000" w:rsidDel="00000000" w:rsidP="00000000" w:rsidRDefault="00000000" w:rsidRPr="00000000" w14:paraId="00000007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40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840"/>
        <w:tblGridChange w:id="0">
          <w:tblGrid>
            <w:gridCol w:w="8840"/>
          </w:tblGrid>
        </w:tblGridChange>
      </w:tblGrid>
      <w:tr>
        <w:trPr>
          <w:trHeight w:val="9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 ACLARA A TODOS LOS POSTULANTES QUE NO SE BRINDARÁ INFORMACIÓN TELEFÓNICA RESPECTO A LAS NOTAS. </w:t>
            </w:r>
          </w:p>
        </w:tc>
      </w:tr>
    </w:tbl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360" w:hanging="72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360" w:hanging="360"/>
        <w:jc w:val="both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El “Segundo Resultado Provisional de la II Convocatoria II Etapa y I Extraordinario” podrá ser consultado en el sitio web http://ingresoppem.ucr.ac.cr. Las notas obtenidas se presentan en una escala de 0 a 10.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360" w:hanging="360"/>
        <w:jc w:val="both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Se podrán presentar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apelaciones (más conocidas como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segundas apelaciones) únicamente sobre los items y aspectos en contra de los que se gestionó en tiempo y forma las revocat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orias (conocidas como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primeras apelaci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n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es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). No se aceptarán apelaciones de cuestiones que no fueron debatidas en la etapa de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revocatoria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360" w:hanging="360"/>
        <w:jc w:val="both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Estas apelaciones podrán realizarlas en el sitio web citado (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http://ingresoppem.ucr.ac.cr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), del lunes 20 de abril del 2020 a partir de las 7:00 a.m. al viernes 24 de abril del 2020 hasta las 3:00 p.m. Del 20 de abril a las 7 a.m. al 23 de abril, el sistema funcionará 24 horas, mientras que el 24 de abril estará disponible hasta las 3:00 p.m.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360" w:hanging="360"/>
        <w:jc w:val="both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Aquellas personas que no presentaron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revocatoria (o primera apelación)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en el período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correspondiente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u w:val="single"/>
          <w:rtl w:val="0"/>
        </w:rPr>
        <w:t xml:space="preserve">NO PODRÁN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presentar apelaciones en las fechas indicadas en el punto 3.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360" w:hanging="360"/>
        <w:jc w:val="both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En el anexo No. 1, se adjunta una “Guía Rápida” sobre el uso del sistema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 L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e solicitamos leerlo detalladamente a fin de evitar inconvenientes en su uso, puesto que este mecanismo electrónico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u w:val="single"/>
          <w:rtl w:val="0"/>
        </w:rPr>
        <w:t xml:space="preserve">es el único por medio del cual se aceptarán reclamos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360" w:hanging="360"/>
        <w:jc w:val="both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La publicación de los Resultados Finales de la II Etapa será el 15 de mayo del 2020.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ind w:left="360" w:hanging="360"/>
        <w:jc w:val="both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En el siguiente cuadro se detallan las especialidades que anularon preguntas en sus pruebas, otorgándolas como correctas y reconociendo a todos los postulantes nivel general su puntaje. En otros ítems, se reconocieron dos de sus respuestas como válidas, concediendo su puntaje únicamente a quienes marcaron cualquiera de las dos opciones. </w:t>
      </w:r>
      <w:r w:rsidDel="00000000" w:rsidR="00000000" w:rsidRPr="00000000">
        <w:rPr>
          <w:rtl w:val="0"/>
        </w:rPr>
      </w:r>
    </w:p>
    <w:tbl>
      <w:tblPr>
        <w:tblStyle w:val="Table2"/>
        <w:tblW w:w="8566.000000000002" w:type="dxa"/>
        <w:jc w:val="left"/>
        <w:tblInd w:w="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29"/>
        <w:gridCol w:w="2268"/>
        <w:gridCol w:w="992"/>
        <w:gridCol w:w="2977"/>
        <w:tblGridChange w:id="0">
          <w:tblGrid>
            <w:gridCol w:w="2329"/>
            <w:gridCol w:w="2268"/>
            <w:gridCol w:w="992"/>
            <w:gridCol w:w="2977"/>
          </w:tblGrid>
        </w:tblGridChange>
      </w:tblGrid>
      <w:t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Especialidad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Descripción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No. Pregunta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Justificación</w:t>
            </w:r>
          </w:p>
        </w:tc>
      </w:tr>
      <w:tr>
        <w:trPr>
          <w:trHeight w:val="48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Dermatología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Anulación de pregunta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 tiene respuesta correcta</w:t>
            </w:r>
          </w:p>
        </w:tc>
      </w:tr>
      <w:tr>
        <w:trPr>
          <w:trHeight w:val="48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Infectología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Anulación de pregunta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El enunciado no se transcribió correctamente</w:t>
            </w:r>
          </w:p>
        </w:tc>
      </w:tr>
      <w:tr>
        <w:trPr>
          <w:trHeight w:val="48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Infectología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Anulación de pregunta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Múltiples respuestas correctas</w:t>
            </w:r>
          </w:p>
        </w:tc>
      </w:tr>
      <w:tr>
        <w:trPr>
          <w:trHeight w:val="48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Infectología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Anulación de pregunta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 tiene respuesta correcta</w:t>
            </w:r>
          </w:p>
        </w:tc>
      </w:tr>
      <w:tr>
        <w:trPr>
          <w:trHeight w:val="48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Oncología Médica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Doble respuesta correcta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Las respuestas 1 y 4 son correctas</w:t>
            </w:r>
          </w:p>
        </w:tc>
      </w:tr>
      <w:tr>
        <w:trPr>
          <w:trHeight w:val="48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Oncología Médica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Doble respuesta correcta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Las respuestas 2 y 4 son correctas</w:t>
            </w:r>
          </w:p>
        </w:tc>
      </w:tr>
      <w:tr>
        <w:trPr>
          <w:trHeight w:val="48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Oncología Médica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Anulación de pregunta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 tiene respuesta correcta</w:t>
            </w:r>
          </w:p>
        </w:tc>
      </w:tr>
    </w:tbl>
    <w:p w:rsidR="00000000" w:rsidDel="00000000" w:rsidP="00000000" w:rsidRDefault="00000000" w:rsidRPr="00000000" w14:paraId="00000033">
      <w:pPr>
        <w:ind w:left="360" w:firstLine="0"/>
        <w:jc w:val="both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bookmarkStart w:colFirst="0" w:colLast="0" w:name="_30j0zll" w:id="1"/>
      <w:bookmarkEnd w:id="1"/>
      <w:r w:rsidDel="00000000" w:rsidR="00000000" w:rsidRPr="00000000">
        <w:rPr>
          <w:rtl w:val="0"/>
        </w:rPr>
      </w:r>
    </w:p>
    <w:sectPr>
      <w:headerReference r:id="rId6" w:type="default"/>
      <w:headerReference r:id="rId7" w:type="even"/>
      <w:footerReference r:id="rId8" w:type="default"/>
      <w:footerReference r:id="rId9" w:type="even"/>
      <w:pgSz w:h="15842" w:w="12242"/>
      <w:pgMar w:bottom="1701" w:top="1701" w:left="1701" w:right="1701" w:header="851" w:footer="86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Cambr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man Old Style"/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pBdr>
        <w:bottom w:color="000000" w:space="1" w:sz="12" w:val="single"/>
      </w:pBdr>
      <w:tabs>
        <w:tab w:val="right" w:pos="9498"/>
      </w:tabs>
      <w:ind w:left="-284" w:right="48" w:firstLine="0"/>
      <w:jc w:val="center"/>
      <w:rPr>
        <w:rFonts w:ascii="Open Sans" w:cs="Open Sans" w:eastAsia="Open Sans" w:hAnsi="Open Sans"/>
        <w:sz w:val="16"/>
        <w:szCs w:val="16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1861275</wp:posOffset>
          </wp:positionH>
          <wp:positionV relativeFrom="paragraph">
            <wp:posOffset>-501644</wp:posOffset>
          </wp:positionV>
          <wp:extent cx="3660684" cy="568116"/>
          <wp:effectExtent b="0" l="0" r="0" t="0"/>
          <wp:wrapSquare wrapText="bothSides" distB="0" distT="0" distL="0" distR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660684" cy="56811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9">
    <w:pPr>
      <w:pBdr>
        <w:bottom w:color="000000" w:space="1" w:sz="12" w:val="single"/>
      </w:pBdr>
      <w:tabs>
        <w:tab w:val="right" w:pos="9498"/>
      </w:tabs>
      <w:ind w:left="-284" w:right="48" w:firstLine="0"/>
      <w:jc w:val="center"/>
      <w:rPr>
        <w:rFonts w:ascii="Open Sans" w:cs="Open Sans" w:eastAsia="Open Sans" w:hAnsi="Open Sans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tabs>
        <w:tab w:val="right" w:pos="9498"/>
      </w:tabs>
      <w:ind w:right="48"/>
      <w:jc w:val="center"/>
      <w:rPr>
        <w:rFonts w:ascii="Open Sans" w:cs="Open Sans" w:eastAsia="Open Sans" w:hAnsi="Open Sans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tabs>
        <w:tab w:val="right" w:pos="9498"/>
      </w:tabs>
      <w:ind w:right="48"/>
      <w:jc w:val="center"/>
      <w:rPr>
        <w:rFonts w:ascii="Open Sans" w:cs="Open Sans" w:eastAsia="Open Sans" w:hAnsi="Open Sans"/>
        <w:sz w:val="20"/>
        <w:szCs w:val="20"/>
      </w:rPr>
    </w:pP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Teléfonos:  2232-6153     /    medicina@sep.ucr.ac.cr  /   www.medicina.sep.ucr.ac.cr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ind w:right="360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tabs>
        <w:tab w:val="center" w:pos="4252"/>
        <w:tab w:val="right" w:pos="8504"/>
      </w:tabs>
      <w:rPr>
        <w:color w:val="000000"/>
      </w:rPr>
    </w:pPr>
    <w:r w:rsidDel="00000000" w:rsidR="00000000" w:rsidRPr="00000000">
      <w:rPr>
        <w:rFonts w:ascii="Cambria" w:cs="Cambria" w:eastAsia="Cambria" w:hAnsi="Cambria"/>
      </w:rPr>
      <w:drawing>
        <wp:inline distB="0" distT="0" distL="0" distR="0">
          <wp:extent cx="5581015" cy="635635"/>
          <wp:effectExtent b="0" l="0" r="0" t="0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81015" cy="6356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rPr>
        <w:color w:val="000000"/>
      </w:rPr>
    </w:pPr>
    <w:r w:rsidDel="00000000" w:rsidR="00000000" w:rsidRPr="00000000">
      <w:rPr>
        <w:color w:val="000000"/>
        <w:rtl w:val="0"/>
      </w:rPr>
      <w:tab/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rFonts w:ascii="Calibri" w:cs="Calibri" w:eastAsia="Calibri" w:hAnsi="Calibri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_tradn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widowControl w:val="0"/>
      <w:tabs>
        <w:tab w:val="left" w:pos="709"/>
      </w:tabs>
      <w:jc w:val="right"/>
    </w:pPr>
    <w:rPr>
      <w:rFonts w:ascii="Bookman Old Style" w:cs="Bookman Old Style" w:eastAsia="Bookman Old Style" w:hAnsi="Bookman Old Style"/>
      <w:i w:val="1"/>
    </w:rPr>
  </w:style>
  <w:style w:type="paragraph" w:styleId="Heading3">
    <w:name w:val="heading 3"/>
    <w:basedOn w:val="Normal"/>
    <w:next w:val="Normal"/>
    <w:pPr>
      <w:keepNext w:val="1"/>
      <w:widowControl w:val="0"/>
      <w:tabs>
        <w:tab w:val="left" w:pos="709"/>
      </w:tabs>
      <w:jc w:val="right"/>
    </w:pPr>
    <w:rPr>
      <w:rFonts w:ascii="Bookman Old Style" w:cs="Bookman Old Style" w:eastAsia="Bookman Old Style" w:hAnsi="Bookman Old Style"/>
      <w:b w:val="1"/>
      <w:i w:val="1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rFonts w:ascii="Bookman Old Style" w:cs="Bookman Old Style" w:eastAsia="Bookman Old Style" w:hAnsi="Bookman Old Style"/>
      <w:b w:val="1"/>
      <w:sz w:val="60"/>
      <w:szCs w:val="60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