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EB8B3" w14:textId="77777777" w:rsidR="00BE31C7" w:rsidRDefault="002346D8" w:rsidP="00BE31C7">
      <w:pPr>
        <w:spacing w:after="2" w:line="239" w:lineRule="auto"/>
        <w:ind w:left="0" w:right="48" w:firstLine="0"/>
        <w:jc w:val="center"/>
        <w:rPr>
          <w:b/>
          <w:sz w:val="24"/>
          <w:szCs w:val="28"/>
        </w:rPr>
      </w:pPr>
      <w:r w:rsidRPr="002A529F">
        <w:rPr>
          <w:b/>
          <w:sz w:val="24"/>
          <w:szCs w:val="28"/>
        </w:rPr>
        <w:t xml:space="preserve">Guía de la Caja Costarricense de Seguro Social </w:t>
      </w:r>
    </w:p>
    <w:p w14:paraId="32ABF0C7" w14:textId="56D8AB41" w:rsidR="00453818" w:rsidRPr="002A529F" w:rsidRDefault="002346D8" w:rsidP="00BE31C7">
      <w:pPr>
        <w:spacing w:after="2" w:line="239" w:lineRule="auto"/>
        <w:ind w:left="0" w:right="48" w:firstLine="0"/>
        <w:jc w:val="center"/>
        <w:rPr>
          <w:sz w:val="24"/>
          <w:szCs w:val="28"/>
        </w:rPr>
      </w:pPr>
      <w:r w:rsidRPr="002A529F">
        <w:rPr>
          <w:b/>
          <w:sz w:val="24"/>
          <w:szCs w:val="28"/>
        </w:rPr>
        <w:t xml:space="preserve">sobre Reporte de Caso y Serie de Casos </w:t>
      </w:r>
    </w:p>
    <w:p w14:paraId="1F2ED1F3" w14:textId="77777777" w:rsidR="00BE31C7" w:rsidRDefault="002346D8" w:rsidP="00BE31C7">
      <w:pPr>
        <w:spacing w:after="218" w:line="259" w:lineRule="auto"/>
        <w:ind w:left="824" w:right="0" w:firstLine="0"/>
        <w:jc w:val="left"/>
      </w:pPr>
      <w:r>
        <w:t xml:space="preserve"> </w:t>
      </w:r>
    </w:p>
    <w:p w14:paraId="16474D2D" w14:textId="6101DAAC" w:rsidR="00453818" w:rsidRPr="00BE31C7" w:rsidRDefault="002346D8" w:rsidP="00BE31C7">
      <w:pPr>
        <w:spacing w:after="0" w:line="259" w:lineRule="auto"/>
        <w:ind w:left="822" w:right="0" w:hanging="11"/>
        <w:jc w:val="left"/>
        <w:rPr>
          <w:b/>
        </w:rPr>
      </w:pPr>
      <w:r>
        <w:rPr>
          <w:b/>
        </w:rPr>
        <w:t xml:space="preserve">INTRODUCCIÓN </w:t>
      </w:r>
    </w:p>
    <w:p w14:paraId="48687324" w14:textId="7D049BE0" w:rsidR="00453818" w:rsidRDefault="002346D8">
      <w:pPr>
        <w:spacing w:after="194"/>
        <w:ind w:left="824" w:right="-10" w:firstLine="0"/>
      </w:pPr>
      <w:r>
        <w:t>Los reportes y series de casos son un tipo de actividad científica bastante popular y representa uno de los niveles de evidencia más antiguos, pero al mismo tiempo uno de los más débiles dentro de la medicina basada en la evidencia</w:t>
      </w:r>
      <w:r w:rsidR="00DB30A1">
        <w:rPr>
          <w:rStyle w:val="Refdenotaalpie"/>
        </w:rPr>
        <w:footnoteReference w:id="1"/>
      </w:r>
      <w:r>
        <w:t>. Desde Hipócrates, en sus aforismos se exponen conocimientos basados del aprendizaje de casos de pacientes individuales</w:t>
      </w:r>
      <w:r w:rsidR="00DB30A1">
        <w:rPr>
          <w:rStyle w:val="Refdenotaalpie"/>
        </w:rPr>
        <w:footnoteReference w:id="2"/>
      </w:r>
      <w:r w:rsidR="00252E0A">
        <w:t xml:space="preserve"> </w:t>
      </w:r>
      <w:r w:rsidR="00DB30A1">
        <w:rPr>
          <w:rStyle w:val="Refdenotaalpie"/>
        </w:rPr>
        <w:footnoteReference w:id="3"/>
      </w:r>
      <w:r>
        <w:t xml:space="preserve">. Es decir, los reportes y serie de casos han sido y siguen siendo una rica y constante fuente de aprendizaje y preguntas científicas, lo cual hace que este tipo de actividad sea el “primer nivel de evidencia”. </w:t>
      </w:r>
      <w:r>
        <w:rPr>
          <w:vertAlign w:val="superscript"/>
        </w:rPr>
        <w:t>1</w:t>
      </w:r>
      <w:r>
        <w:t xml:space="preserve"> </w:t>
      </w:r>
    </w:p>
    <w:p w14:paraId="6A1603F7" w14:textId="17E1ABE8" w:rsidR="00453818" w:rsidRPr="00275FF5" w:rsidRDefault="00275FF5" w:rsidP="00C362DF">
      <w:pPr>
        <w:spacing w:after="0" w:line="259" w:lineRule="auto"/>
        <w:ind w:left="822" w:right="0" w:hanging="11"/>
        <w:jc w:val="left"/>
        <w:rPr>
          <w:b/>
        </w:rPr>
      </w:pPr>
      <w:r w:rsidRPr="00275FF5">
        <w:rPr>
          <w:b/>
        </w:rPr>
        <w:t xml:space="preserve">DEFINICIÓN Y LINEAMIENTOS: </w:t>
      </w:r>
    </w:p>
    <w:p w14:paraId="69A31D67" w14:textId="6069EA26" w:rsidR="00453818" w:rsidRDefault="002346D8">
      <w:pPr>
        <w:spacing w:after="257"/>
        <w:ind w:left="824" w:right="-10" w:firstLine="0"/>
      </w:pPr>
      <w:r>
        <w:rPr>
          <w:b/>
        </w:rPr>
        <w:t>El REPORTE DE CASO</w:t>
      </w:r>
      <w:r>
        <w:t xml:space="preserve"> (tres o menos casos) es una descripción retrospectiva, detallada, lógica y racional de síntomas, signos, resultados de estudios auxiliares, tratamiento, complicaciones del tratamiento y seguimiento del paciente(s). Hace énfasis en la discusión de la característica única por la que fue reportado.</w:t>
      </w:r>
      <w:r w:rsidR="00DB30A1">
        <w:rPr>
          <w:rStyle w:val="Refdenotaalpie"/>
        </w:rPr>
        <w:footnoteReference w:id="4"/>
      </w:r>
      <w:r>
        <w:t xml:space="preserve"> </w:t>
      </w:r>
    </w:p>
    <w:p w14:paraId="31ABF03B" w14:textId="77777777" w:rsidR="00453818" w:rsidRDefault="002346D8">
      <w:pPr>
        <w:numPr>
          <w:ilvl w:val="0"/>
          <w:numId w:val="1"/>
        </w:numPr>
        <w:ind w:right="-10" w:hanging="360"/>
      </w:pPr>
      <w:r>
        <w:t xml:space="preserve">Para el reporte de caso, es imprescindible respetar la autonomía del participante(s) a través de un </w:t>
      </w:r>
      <w:hyperlink r:id="rId8">
        <w:r>
          <w:rPr>
            <w:color w:val="0000FF"/>
            <w:u w:val="single" w:color="0000FF"/>
          </w:rPr>
          <w:t>consentimiento informado</w:t>
        </w:r>
      </w:hyperlink>
      <w:hyperlink r:id="rId9">
        <w:r>
          <w:t>.</w:t>
        </w:r>
      </w:hyperlink>
      <w:r>
        <w:t xml:space="preserve"> Si el participante(s) no puede dar su consentimiento por alguna razón o está fallecido, el consentimiento se debe obtener por parte del representante legal. </w:t>
      </w:r>
    </w:p>
    <w:p w14:paraId="3B5E74FE" w14:textId="77777777" w:rsidR="00C362DF" w:rsidRDefault="002346D8">
      <w:pPr>
        <w:numPr>
          <w:ilvl w:val="0"/>
          <w:numId w:val="1"/>
        </w:numPr>
        <w:ind w:right="-10" w:hanging="360"/>
      </w:pPr>
      <w:r>
        <w:t>Para preservar la privacidad y confidencialidad del participante se deben de eliminar los datos sensibles</w:t>
      </w:r>
      <w:r w:rsidR="00DB30A1">
        <w:rPr>
          <w:rStyle w:val="Refdenotaalpie"/>
        </w:rPr>
        <w:footnoteReference w:id="5"/>
      </w:r>
      <w:r>
        <w:t xml:space="preserve"> y/o identificadores</w:t>
      </w:r>
      <w:r w:rsidR="001117C0">
        <w:rPr>
          <w:rStyle w:val="Refdenotaalpie"/>
        </w:rPr>
        <w:footnoteReference w:id="6"/>
      </w:r>
      <w:r>
        <w:t>. Así mismo, el investigador debe determinar que ninguna foto o ilustración en el reporte del caso pueda conducir a la identificación del pacient</w:t>
      </w:r>
      <w:r w:rsidR="00C362DF">
        <w:t>e.</w:t>
      </w:r>
      <w:r>
        <w:t xml:space="preserve"> </w:t>
      </w:r>
    </w:p>
    <w:p w14:paraId="273AD0F6" w14:textId="77777777" w:rsidR="00453818" w:rsidRDefault="002346D8">
      <w:pPr>
        <w:numPr>
          <w:ilvl w:val="0"/>
          <w:numId w:val="1"/>
        </w:numPr>
        <w:ind w:right="-10" w:hanging="360"/>
      </w:pPr>
      <w:r>
        <w:t xml:space="preserve">El reporte de caso no requiere revisión por parte de un Comité Ético Científico (CEC). Los investigadores no necesitan presentar un formulario de solicitud de revisión del protocolo. </w:t>
      </w:r>
    </w:p>
    <w:p w14:paraId="43C4082E" w14:textId="3D38DB74" w:rsidR="00453818" w:rsidRDefault="002346D8" w:rsidP="00DB30A1">
      <w:pPr>
        <w:numPr>
          <w:ilvl w:val="0"/>
          <w:numId w:val="1"/>
        </w:numPr>
        <w:ind w:right="-10" w:hanging="360"/>
      </w:pPr>
      <w:r>
        <w:lastRenderedPageBreak/>
        <w:t xml:space="preserve">Si un investigador desea que el proyecto sea evaluado por un CEC para ver si cumple con la definición de reporte de caso, debe ponerse en contacto con el CEC.  </w:t>
      </w:r>
      <w:r w:rsidRPr="00DB30A1">
        <w:t xml:space="preserve">                   </w:t>
      </w:r>
      <w:r>
        <w:t xml:space="preserve"> </w:t>
      </w:r>
    </w:p>
    <w:p w14:paraId="3C273331" w14:textId="0BB95A58" w:rsidR="00453818" w:rsidRDefault="002346D8" w:rsidP="00DB30A1">
      <w:pPr>
        <w:numPr>
          <w:ilvl w:val="0"/>
          <w:numId w:val="1"/>
        </w:numPr>
        <w:ind w:right="-10" w:hanging="360"/>
      </w:pPr>
      <w:r>
        <w:t xml:space="preserve">Si el proyecto califica como reporte de caso, el CEC enviará al investigador un oficio </w:t>
      </w:r>
      <w:r w:rsidR="007B7477">
        <w:t>indicando que</w:t>
      </w:r>
      <w:r>
        <w:t xml:space="preserve"> recibió su solicitud </w:t>
      </w:r>
      <w:r w:rsidR="007B7477">
        <w:t>y la fecha de recepción</w:t>
      </w:r>
      <w:r>
        <w:t xml:space="preserve">, referente a la valoración del cumplimiento de los criterios de Reporte de caso. La revisión por parte del CEC no es necesaria para esta actividad. De igual manera se debe respetar la autonomía del participante(s) a través de un consentimiento informado, el cual es imprescindible. Así como el respeto de la privacidad y confidencialidad del participante(s). </w:t>
      </w:r>
    </w:p>
    <w:p w14:paraId="46E3C2FB" w14:textId="2F481F0A" w:rsidR="00453818" w:rsidRDefault="002346D8">
      <w:pPr>
        <w:numPr>
          <w:ilvl w:val="1"/>
          <w:numId w:val="2"/>
        </w:numPr>
        <w:spacing w:after="188"/>
        <w:ind w:right="-10" w:hanging="360"/>
      </w:pPr>
      <w:r>
        <w:t>La publicación de reporte de caso requiere la autorización del</w:t>
      </w:r>
      <w:r w:rsidR="00227D8F">
        <w:t xml:space="preserve"> </w:t>
      </w:r>
      <w:r>
        <w:t xml:space="preserve">CENDEISSS, para lo cual el investigador deberá remitir la solicitud respectiva al </w:t>
      </w:r>
      <w:r w:rsidR="007B7477">
        <w:t xml:space="preserve">correo </w:t>
      </w:r>
      <w:hyperlink r:id="rId10" w:history="1">
        <w:r w:rsidR="007B7477" w:rsidRPr="0073371E">
          <w:rPr>
            <w:rStyle w:val="Hipervnculo"/>
            <w:rFonts w:ascii="Arial" w:eastAsia="Arial" w:hAnsi="Arial" w:cs="Arial"/>
            <w:sz w:val="18"/>
          </w:rPr>
          <w:t>coinccss@ccss.sa.cr</w:t>
        </w:r>
      </w:hyperlink>
      <w:r>
        <w:t xml:space="preserve">. </w:t>
      </w:r>
    </w:p>
    <w:p w14:paraId="099B518F" w14:textId="26746F98" w:rsidR="00AA310A" w:rsidRDefault="002346D8">
      <w:pPr>
        <w:spacing w:after="252"/>
        <w:ind w:left="824" w:right="-10" w:firstLine="0"/>
        <w:sectPr w:rsidR="00AA310A" w:rsidSect="000132B7">
          <w:headerReference w:type="default" r:id="rId11"/>
          <w:footerReference w:type="default" r:id="rId12"/>
          <w:type w:val="continuous"/>
          <w:pgSz w:w="12240" w:h="15840" w:code="1"/>
          <w:pgMar w:top="1418" w:right="1418" w:bottom="1701" w:left="1418" w:header="720" w:footer="720" w:gutter="0"/>
          <w:cols w:space="720"/>
          <w:docGrid w:linePitch="299"/>
        </w:sectPr>
      </w:pPr>
      <w:r>
        <w:rPr>
          <w:b/>
        </w:rPr>
        <w:t xml:space="preserve">SERIE DE CASOS, </w:t>
      </w:r>
      <w:r>
        <w:t>es un tipo de investigación que reporta una serie de casos con alguna característica semejante que los vuelve agrupables; similitudes sindrómicas, etiológicas, anatómicas, histológicas, fisiológicas, genéticas, moleculares, del tipo de tratamiento, de algún efecto adverso al tratamiento o de algún estudio complementario</w:t>
      </w:r>
      <w:r>
        <w:rPr>
          <w:vertAlign w:val="superscript"/>
        </w:rPr>
        <w:footnoteReference w:id="7"/>
      </w:r>
      <w:r>
        <w:t xml:space="preserve"> </w:t>
      </w:r>
      <w:r w:rsidR="00AA310A">
        <w:t>.</w:t>
      </w:r>
    </w:p>
    <w:p w14:paraId="1BCD6328" w14:textId="1B60425A" w:rsidR="00AA310A" w:rsidRDefault="002346D8" w:rsidP="00AA310A">
      <w:pPr>
        <w:numPr>
          <w:ilvl w:val="1"/>
          <w:numId w:val="2"/>
        </w:numPr>
        <w:spacing w:after="72"/>
        <w:ind w:right="-10" w:hanging="360"/>
        <w:sectPr w:rsidR="00AA310A" w:rsidSect="000132B7">
          <w:type w:val="continuous"/>
          <w:pgSz w:w="12240" w:h="15840" w:code="1"/>
          <w:pgMar w:top="1418" w:right="1418" w:bottom="1701" w:left="1418" w:header="720" w:footer="720" w:gutter="0"/>
          <w:cols w:space="720"/>
          <w:docGrid w:linePitch="299"/>
        </w:sectPr>
      </w:pPr>
      <w:r>
        <w:t>Para fines operacionales, una serie de casos debe tener más de 3 casos, el límite superior varía y va a depender de cada estudio en particular</w:t>
      </w:r>
      <w:r>
        <w:rPr>
          <w:vertAlign w:val="superscript"/>
        </w:rPr>
        <w:footnoteReference w:id="8"/>
      </w:r>
      <w:r w:rsidR="00AA310A">
        <w:t>.</w:t>
      </w:r>
    </w:p>
    <w:p w14:paraId="472F32C9" w14:textId="77777777" w:rsidR="00453818" w:rsidRDefault="002346D8">
      <w:pPr>
        <w:numPr>
          <w:ilvl w:val="1"/>
          <w:numId w:val="2"/>
        </w:numPr>
        <w:ind w:right="-10" w:hanging="360"/>
      </w:pPr>
      <w:r>
        <w:t xml:space="preserve">Para la serie de casos, es imprescindible respetar la autonomía de los participantes a través de un </w:t>
      </w:r>
      <w:r>
        <w:rPr>
          <w:color w:val="0000FF"/>
          <w:u w:val="single" w:color="0000FF"/>
        </w:rPr>
        <w:t>consentimiento informado</w:t>
      </w:r>
      <w:r>
        <w:t xml:space="preserve">. Si alguno de los participantes no puede dar su consentimiento por alguna razón o está fallecido, el consentimiento se debe obtener por parte del representante legal. </w:t>
      </w:r>
    </w:p>
    <w:p w14:paraId="78BC2182" w14:textId="36E173C4" w:rsidR="00453818" w:rsidRDefault="002346D8">
      <w:pPr>
        <w:numPr>
          <w:ilvl w:val="1"/>
          <w:numId w:val="2"/>
        </w:numPr>
        <w:ind w:right="-10" w:hanging="360"/>
      </w:pPr>
      <w:r>
        <w:t xml:space="preserve">Para preservar la privacidad y confidencialidad de los participantes se deben de eliminar los datos sensibles y/o identificadores. Así mismo, el investigador debe determinar que ninguna foto o ilustración en la serie de casos pueda conducir a la identificación del paciente.  </w:t>
      </w:r>
    </w:p>
    <w:p w14:paraId="645E65EB" w14:textId="77777777" w:rsidR="00453818" w:rsidRDefault="002346D8">
      <w:pPr>
        <w:numPr>
          <w:ilvl w:val="1"/>
          <w:numId w:val="2"/>
        </w:numPr>
        <w:ind w:right="-10" w:hanging="360"/>
      </w:pPr>
      <w:r>
        <w:t xml:space="preserve">El estudio de serie de casos </w:t>
      </w:r>
      <w:r>
        <w:rPr>
          <w:b/>
        </w:rPr>
        <w:t>SI</w:t>
      </w:r>
      <w:r>
        <w:t xml:space="preserve"> requiere revisión por parte de un CEC. Los investigadores deben de presentarlo en un formulario de solicitud de revisión de protocolo, aunque por su metodología algunos parámetros de estos formularios no apliquen. </w:t>
      </w:r>
    </w:p>
    <w:p w14:paraId="562423AA" w14:textId="55C81BDE" w:rsidR="00453818" w:rsidRDefault="002346D8" w:rsidP="002346D8">
      <w:pPr>
        <w:numPr>
          <w:ilvl w:val="1"/>
          <w:numId w:val="2"/>
        </w:numPr>
        <w:spacing w:after="218" w:line="259" w:lineRule="auto"/>
        <w:ind w:left="1184" w:right="0" w:firstLine="0"/>
        <w:jc w:val="left"/>
      </w:pPr>
      <w:r>
        <w:t xml:space="preserve">La publicación de serie de casos requiere la autorización del CENDEISSS, para lo cual el investigador deberá remitir la solicitud respectiva al correo </w:t>
      </w:r>
      <w:hyperlink r:id="rId13" w:history="1">
        <w:r w:rsidRPr="000132B7">
          <w:rPr>
            <w:rStyle w:val="Hipervnculo"/>
            <w:rFonts w:ascii="Arial" w:eastAsia="Arial" w:hAnsi="Arial" w:cs="Arial"/>
            <w:sz w:val="18"/>
          </w:rPr>
          <w:t>coinccss@ccss.sa.cr</w:t>
        </w:r>
      </w:hyperlink>
      <w:r>
        <w:t xml:space="preserve">. </w:t>
      </w:r>
    </w:p>
    <w:sectPr w:rsidR="00453818" w:rsidSect="000132B7">
      <w:type w:val="continuous"/>
      <w:pgSz w:w="12240" w:h="15840" w:code="1"/>
      <w:pgMar w:top="1418" w:right="1418" w:bottom="1701"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7D643" w14:textId="77777777" w:rsidR="002346D8" w:rsidRDefault="002346D8">
      <w:pPr>
        <w:spacing w:after="0" w:line="240" w:lineRule="auto"/>
      </w:pPr>
      <w:r>
        <w:separator/>
      </w:r>
    </w:p>
  </w:endnote>
  <w:endnote w:type="continuationSeparator" w:id="0">
    <w:p w14:paraId="5A27FE2A" w14:textId="77777777" w:rsidR="002346D8" w:rsidRDefault="00234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904728981"/>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7E93E707" w14:textId="00791CB2" w:rsidR="00227D8F" w:rsidRPr="00227D8F" w:rsidRDefault="000132B7" w:rsidP="00227D8F">
            <w:pPr>
              <w:pStyle w:val="Piedepgina"/>
              <w:tabs>
                <w:tab w:val="clear" w:pos="8838"/>
                <w:tab w:val="right" w:pos="10348"/>
              </w:tabs>
              <w:rPr>
                <w:sz w:val="18"/>
                <w:szCs w:val="18"/>
              </w:rPr>
            </w:pPr>
            <w:r>
              <w:rPr>
                <w:sz w:val="18"/>
                <w:szCs w:val="18"/>
              </w:rPr>
              <mc:AlternateContent>
                <mc:Choice Requires="wps">
                  <w:drawing>
                    <wp:anchor distT="0" distB="0" distL="114300" distR="114300" simplePos="0" relativeHeight="251661312" behindDoc="0" locked="0" layoutInCell="1" allowOverlap="1" wp14:anchorId="584A10A4" wp14:editId="59AD89AA">
                      <wp:simplePos x="0" y="0"/>
                      <wp:positionH relativeFrom="column">
                        <wp:posOffset>255378</wp:posOffset>
                      </wp:positionH>
                      <wp:positionV relativeFrom="paragraph">
                        <wp:posOffset>-9525</wp:posOffset>
                      </wp:positionV>
                      <wp:extent cx="4324350" cy="0"/>
                      <wp:effectExtent l="0" t="0" r="0" b="0"/>
                      <wp:wrapNone/>
                      <wp:docPr id="198111056" name="Conector recto 1"/>
                      <wp:cNvGraphicFramePr/>
                      <a:graphic xmlns:a="http://schemas.openxmlformats.org/drawingml/2006/main">
                        <a:graphicData uri="http://schemas.microsoft.com/office/word/2010/wordprocessingShape">
                          <wps:wsp>
                            <wps:cNvCnPr/>
                            <wps:spPr>
                              <a:xfrm flipV="1">
                                <a:off x="0" y="0"/>
                                <a:ext cx="4324350" cy="0"/>
                              </a:xfrm>
                              <a:prstGeom prst="line">
                                <a:avLst/>
                              </a:prstGeom>
                              <a:ln w="19050">
                                <a:solidFill>
                                  <a:schemeClr val="tx2">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2C7D45" id="Conector recto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pt,-.75pt" to="360.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" strokecolor="#215e99 [2431]" strokeweight="1.5pt">
                      <v:stroke joinstyle="miter"/>
                    </v:line>
                  </w:pict>
                </mc:Fallback>
              </mc:AlternateContent>
            </w:r>
            <w:r w:rsidR="00227D8F" w:rsidRPr="00227D8F">
              <w:rPr>
                <w:sz w:val="18"/>
                <w:szCs w:val="18"/>
              </w:rPr>
              <w:t xml:space="preserve">Guía de la Caja Costarricense de Seguro Social </w:t>
            </w:r>
            <w:r w:rsidR="00227D8F">
              <w:rPr>
                <w:sz w:val="18"/>
                <w:szCs w:val="18"/>
              </w:rPr>
              <w:t>s</w:t>
            </w:r>
            <w:r w:rsidR="00227D8F" w:rsidRPr="00227D8F">
              <w:rPr>
                <w:sz w:val="18"/>
                <w:szCs w:val="18"/>
              </w:rPr>
              <w:t xml:space="preserve">obre Reporte de Caso y Serie de Casos </w:t>
            </w:r>
          </w:p>
          <w:p w14:paraId="2B6195F5" w14:textId="0B18E6D1" w:rsidR="0097773A" w:rsidRPr="0097773A" w:rsidRDefault="000132B7" w:rsidP="000132B7">
            <w:pPr>
              <w:pStyle w:val="Piedepgina"/>
              <w:tabs>
                <w:tab w:val="clear" w:pos="8838"/>
                <w:tab w:val="right" w:pos="10348"/>
              </w:tabs>
              <w:rPr>
                <w:sz w:val="18"/>
                <w:szCs w:val="18"/>
              </w:rPr>
            </w:pPr>
            <w:r w:rsidRPr="006B4AA7">
              <w:rPr>
                <w:sz w:val="18"/>
                <w:szCs w:val="18"/>
              </w:rPr>
              <w:t xml:space="preserve">Versión </w:t>
            </w:r>
            <w:r>
              <w:rPr>
                <w:sz w:val="18"/>
                <w:szCs w:val="18"/>
              </w:rPr>
              <w:t>2</w:t>
            </w:r>
            <w:r w:rsidRPr="006B4AA7">
              <w:rPr>
                <w:sz w:val="18"/>
                <w:szCs w:val="18"/>
              </w:rPr>
              <w:t xml:space="preserve">.0 </w:t>
            </w:r>
            <w:r>
              <w:rPr>
                <w:sz w:val="18"/>
                <w:szCs w:val="18"/>
              </w:rPr>
              <w:t>23</w:t>
            </w:r>
            <w:r w:rsidRPr="006B4AA7">
              <w:rPr>
                <w:sz w:val="18"/>
                <w:szCs w:val="18"/>
              </w:rPr>
              <w:t>/</w:t>
            </w:r>
            <w:r>
              <w:rPr>
                <w:sz w:val="18"/>
                <w:szCs w:val="18"/>
              </w:rPr>
              <w:t>10</w:t>
            </w:r>
            <w:r w:rsidRPr="006B4AA7">
              <w:rPr>
                <w:sz w:val="18"/>
                <w:szCs w:val="18"/>
              </w:rPr>
              <w:t>/</w:t>
            </w:r>
            <w:r>
              <w:rPr>
                <w:sz w:val="18"/>
                <w:szCs w:val="18"/>
              </w:rPr>
              <w:t>2024</w:t>
            </w:r>
            <w:r>
              <w:rPr>
                <w:sz w:val="18"/>
                <w:szCs w:val="18"/>
              </w:rPr>
              <w:tab/>
            </w:r>
            <w:r>
              <w:rPr>
                <w:sz w:val="18"/>
                <w:szCs w:val="18"/>
              </w:rPr>
              <w:tab/>
            </w:r>
            <w:r w:rsidR="0097773A" w:rsidRPr="0097773A">
              <w:rPr>
                <w:sz w:val="18"/>
                <w:szCs w:val="18"/>
                <w:lang w:val="es-ES"/>
              </w:rPr>
              <w:t xml:space="preserve">Página </w:t>
            </w:r>
            <w:r w:rsidR="0097773A" w:rsidRPr="0097773A">
              <w:rPr>
                <w:b/>
                <w:bCs/>
                <w:sz w:val="18"/>
                <w:szCs w:val="18"/>
              </w:rPr>
              <w:fldChar w:fldCharType="begin"/>
            </w:r>
            <w:r w:rsidR="0097773A" w:rsidRPr="0097773A">
              <w:rPr>
                <w:b/>
                <w:bCs/>
                <w:sz w:val="18"/>
                <w:szCs w:val="18"/>
              </w:rPr>
              <w:instrText>PAGE</w:instrText>
            </w:r>
            <w:r w:rsidR="0097773A" w:rsidRPr="0097773A">
              <w:rPr>
                <w:b/>
                <w:bCs/>
                <w:sz w:val="18"/>
                <w:szCs w:val="18"/>
              </w:rPr>
              <w:fldChar w:fldCharType="separate"/>
            </w:r>
            <w:r w:rsidR="0097773A" w:rsidRPr="0097773A">
              <w:rPr>
                <w:b/>
                <w:bCs/>
                <w:sz w:val="18"/>
                <w:szCs w:val="18"/>
                <w:lang w:val="es-ES"/>
              </w:rPr>
              <w:t>2</w:t>
            </w:r>
            <w:r w:rsidR="0097773A" w:rsidRPr="0097773A">
              <w:rPr>
                <w:b/>
                <w:bCs/>
                <w:sz w:val="18"/>
                <w:szCs w:val="18"/>
              </w:rPr>
              <w:fldChar w:fldCharType="end"/>
            </w:r>
            <w:r w:rsidR="0097773A" w:rsidRPr="0097773A">
              <w:rPr>
                <w:sz w:val="18"/>
                <w:szCs w:val="18"/>
                <w:lang w:val="es-ES"/>
              </w:rPr>
              <w:t xml:space="preserve"> de </w:t>
            </w:r>
            <w:r w:rsidR="0097773A" w:rsidRPr="0097773A">
              <w:rPr>
                <w:b/>
                <w:bCs/>
                <w:sz w:val="18"/>
                <w:szCs w:val="18"/>
              </w:rPr>
              <w:fldChar w:fldCharType="begin"/>
            </w:r>
            <w:r w:rsidR="0097773A" w:rsidRPr="0097773A">
              <w:rPr>
                <w:b/>
                <w:bCs/>
                <w:sz w:val="18"/>
                <w:szCs w:val="18"/>
              </w:rPr>
              <w:instrText>NUMPAGES</w:instrText>
            </w:r>
            <w:r w:rsidR="0097773A" w:rsidRPr="0097773A">
              <w:rPr>
                <w:b/>
                <w:bCs/>
                <w:sz w:val="18"/>
                <w:szCs w:val="18"/>
              </w:rPr>
              <w:fldChar w:fldCharType="separate"/>
            </w:r>
            <w:r w:rsidR="0097773A" w:rsidRPr="0097773A">
              <w:rPr>
                <w:b/>
                <w:bCs/>
                <w:sz w:val="18"/>
                <w:szCs w:val="18"/>
                <w:lang w:val="es-ES"/>
              </w:rPr>
              <w:t>2</w:t>
            </w:r>
            <w:r w:rsidR="0097773A" w:rsidRPr="0097773A">
              <w:rPr>
                <w:b/>
                <w:bCs/>
                <w:sz w:val="18"/>
                <w:szCs w:val="18"/>
              </w:rPr>
              <w:fldChar w:fldCharType="end"/>
            </w:r>
          </w:p>
        </w:sdtContent>
      </w:sdt>
    </w:sdtContent>
  </w:sdt>
  <w:p w14:paraId="19CFDE49" w14:textId="77777777" w:rsidR="00DB30A1" w:rsidRDefault="00DB30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E6BDD" w14:textId="77777777" w:rsidR="00453818" w:rsidRDefault="002346D8">
      <w:pPr>
        <w:spacing w:after="9" w:line="258" w:lineRule="auto"/>
        <w:ind w:left="1107" w:right="0" w:hanging="283"/>
      </w:pPr>
      <w:r>
        <w:separator/>
      </w:r>
    </w:p>
  </w:footnote>
  <w:footnote w:type="continuationSeparator" w:id="0">
    <w:p w14:paraId="5E4FFCE1" w14:textId="77777777" w:rsidR="00453818" w:rsidRDefault="002346D8">
      <w:pPr>
        <w:spacing w:after="9" w:line="258" w:lineRule="auto"/>
        <w:ind w:left="1107" w:right="0" w:hanging="283"/>
      </w:pPr>
      <w:r>
        <w:continuationSeparator/>
      </w:r>
    </w:p>
  </w:footnote>
  <w:footnote w:id="1">
    <w:p w14:paraId="59822BC8" w14:textId="77B556B2" w:rsidR="00DB30A1" w:rsidRPr="00DB30A1" w:rsidRDefault="00DB30A1" w:rsidP="00DB30A1">
      <w:pPr>
        <w:numPr>
          <w:ilvl w:val="0"/>
          <w:numId w:val="2"/>
        </w:numPr>
        <w:spacing w:after="0" w:line="240" w:lineRule="auto"/>
        <w:ind w:right="0" w:hanging="283"/>
        <w:rPr>
          <w:sz w:val="16"/>
          <w:lang w:val="en-US"/>
        </w:rPr>
      </w:pPr>
      <w:r w:rsidRPr="00A94A15">
        <w:rPr>
          <w:sz w:val="16"/>
          <w:lang w:val="en-US"/>
        </w:rPr>
        <w:t xml:space="preserve">Agha R, Rosin RD. Time for a new approach to case reports. Int J Surg Case Rep (2010), </w:t>
      </w:r>
      <w:proofErr w:type="spellStart"/>
      <w:proofErr w:type="gramStart"/>
      <w:r w:rsidRPr="00A94A15">
        <w:rPr>
          <w:sz w:val="16"/>
          <w:lang w:val="en-US"/>
        </w:rPr>
        <w:t>doi:10.1016</w:t>
      </w:r>
      <w:proofErr w:type="spellEnd"/>
      <w:r w:rsidRPr="00A94A15">
        <w:rPr>
          <w:sz w:val="16"/>
          <w:lang w:val="en-US"/>
        </w:rPr>
        <w:t>/</w:t>
      </w:r>
      <w:proofErr w:type="spellStart"/>
      <w:r w:rsidRPr="00A94A15">
        <w:rPr>
          <w:sz w:val="16"/>
          <w:lang w:val="en-US"/>
        </w:rPr>
        <w:t>j.ijscr</w:t>
      </w:r>
      <w:proofErr w:type="gramEnd"/>
      <w:r w:rsidRPr="00A94A15">
        <w:rPr>
          <w:sz w:val="16"/>
          <w:lang w:val="en-US"/>
        </w:rPr>
        <w:t>.2010.04.001</w:t>
      </w:r>
      <w:proofErr w:type="spellEnd"/>
      <w:r w:rsidRPr="00A94A15">
        <w:rPr>
          <w:sz w:val="16"/>
          <w:lang w:val="en-US"/>
        </w:rPr>
        <w:t xml:space="preserve">. </w:t>
      </w:r>
    </w:p>
  </w:footnote>
  <w:footnote w:id="2">
    <w:p w14:paraId="7AE432DD" w14:textId="58FAC857" w:rsidR="00DB30A1" w:rsidRPr="00DB30A1" w:rsidRDefault="00DB30A1" w:rsidP="00DB30A1">
      <w:pPr>
        <w:numPr>
          <w:ilvl w:val="0"/>
          <w:numId w:val="2"/>
        </w:numPr>
        <w:spacing w:after="0" w:line="240" w:lineRule="auto"/>
        <w:ind w:right="0" w:hanging="283"/>
        <w:rPr>
          <w:lang w:val="en-US"/>
        </w:rPr>
      </w:pPr>
      <w:r w:rsidRPr="00DB30A1">
        <w:rPr>
          <w:sz w:val="16"/>
          <w:lang w:val="en-US"/>
        </w:rPr>
        <w:t xml:space="preserve">McCarthy L, Reilly K. How to Write a Case Report. Fam Med 2000; 32(3):190-5. </w:t>
      </w:r>
    </w:p>
  </w:footnote>
  <w:footnote w:id="3">
    <w:p w14:paraId="6B62D511" w14:textId="661CCEAA" w:rsidR="00DB30A1" w:rsidRPr="00DB30A1" w:rsidRDefault="00DB30A1" w:rsidP="00DB30A1">
      <w:pPr>
        <w:numPr>
          <w:ilvl w:val="0"/>
          <w:numId w:val="2"/>
        </w:numPr>
        <w:spacing w:after="14" w:line="256" w:lineRule="auto"/>
        <w:ind w:right="0" w:hanging="283"/>
      </w:pPr>
      <w:r w:rsidRPr="00A94A15">
        <w:rPr>
          <w:sz w:val="16"/>
          <w:lang w:val="en-US"/>
        </w:rPr>
        <w:t xml:space="preserve">Abu-Kasim N, Abdullah B, </w:t>
      </w:r>
      <w:proofErr w:type="spellStart"/>
      <w:r w:rsidRPr="00A94A15">
        <w:rPr>
          <w:sz w:val="16"/>
          <w:lang w:val="en-US"/>
        </w:rPr>
        <w:t>Manikam</w:t>
      </w:r>
      <w:proofErr w:type="spellEnd"/>
      <w:r w:rsidRPr="00A94A15">
        <w:rPr>
          <w:sz w:val="16"/>
          <w:lang w:val="en-US"/>
        </w:rPr>
        <w:t xml:space="preserve"> J. The </w:t>
      </w:r>
      <w:proofErr w:type="gramStart"/>
      <w:r w:rsidRPr="00A94A15">
        <w:rPr>
          <w:sz w:val="16"/>
          <w:lang w:val="en-US"/>
        </w:rPr>
        <w:t>current status</w:t>
      </w:r>
      <w:proofErr w:type="gramEnd"/>
      <w:r w:rsidRPr="00A94A15">
        <w:rPr>
          <w:sz w:val="16"/>
          <w:lang w:val="en-US"/>
        </w:rPr>
        <w:t xml:space="preserve"> of the case report: Terminal or viable? </w:t>
      </w:r>
      <w:proofErr w:type="spellStart"/>
      <w:r>
        <w:rPr>
          <w:sz w:val="16"/>
        </w:rPr>
        <w:t>Biomed</w:t>
      </w:r>
      <w:proofErr w:type="spellEnd"/>
      <w:r>
        <w:rPr>
          <w:sz w:val="16"/>
        </w:rPr>
        <w:t xml:space="preserve"> </w:t>
      </w:r>
      <w:proofErr w:type="spellStart"/>
      <w:r>
        <w:rPr>
          <w:sz w:val="16"/>
        </w:rPr>
        <w:t>Imaging</w:t>
      </w:r>
      <w:proofErr w:type="spellEnd"/>
      <w:r>
        <w:rPr>
          <w:sz w:val="16"/>
        </w:rPr>
        <w:t xml:space="preserve"> </w:t>
      </w:r>
      <w:proofErr w:type="spellStart"/>
      <w:r>
        <w:rPr>
          <w:sz w:val="16"/>
        </w:rPr>
        <w:t>Interv</w:t>
      </w:r>
      <w:proofErr w:type="spellEnd"/>
      <w:r>
        <w:rPr>
          <w:sz w:val="16"/>
        </w:rPr>
        <w:t xml:space="preserve"> J. 2009; 5(1):1. Disponible en: http://</w:t>
      </w:r>
      <w:proofErr w:type="spellStart"/>
      <w:r>
        <w:rPr>
          <w:sz w:val="16"/>
        </w:rPr>
        <w:t>www.biij.org</w:t>
      </w:r>
      <w:proofErr w:type="spellEnd"/>
      <w:r>
        <w:rPr>
          <w:sz w:val="16"/>
        </w:rPr>
        <w:t>/2009/1/</w:t>
      </w:r>
      <w:proofErr w:type="spellStart"/>
      <w:r>
        <w:rPr>
          <w:sz w:val="16"/>
        </w:rPr>
        <w:t>e4</w:t>
      </w:r>
      <w:proofErr w:type="spellEnd"/>
      <w:r>
        <w:rPr>
          <w:sz w:val="16"/>
        </w:rPr>
        <w:t xml:space="preserve">/ </w:t>
      </w:r>
      <w:proofErr w:type="spellStart"/>
      <w:r>
        <w:rPr>
          <w:sz w:val="16"/>
        </w:rPr>
        <w:t>e4.pdf</w:t>
      </w:r>
      <w:proofErr w:type="spellEnd"/>
      <w:r>
        <w:rPr>
          <w:sz w:val="16"/>
        </w:rPr>
        <w:t xml:space="preserve">. </w:t>
      </w:r>
    </w:p>
    <w:p w14:paraId="64C5F85C" w14:textId="5C9910DB" w:rsidR="00DB30A1" w:rsidRPr="00053D09" w:rsidRDefault="00DB30A1" w:rsidP="00053D09">
      <w:pPr>
        <w:numPr>
          <w:ilvl w:val="0"/>
          <w:numId w:val="2"/>
        </w:numPr>
        <w:spacing w:after="14" w:line="256" w:lineRule="auto"/>
        <w:ind w:right="0" w:hanging="283"/>
        <w:rPr>
          <w:sz w:val="16"/>
          <w:lang w:val="en-US"/>
        </w:rPr>
      </w:pPr>
      <w:r w:rsidRPr="00227D8F">
        <w:rPr>
          <w:sz w:val="16"/>
        </w:rPr>
        <w:t xml:space="preserve">Romaní </w:t>
      </w:r>
      <w:proofErr w:type="spellStart"/>
      <w:r w:rsidRPr="00227D8F">
        <w:rPr>
          <w:sz w:val="16"/>
        </w:rPr>
        <w:t>Romaní</w:t>
      </w:r>
      <w:proofErr w:type="spellEnd"/>
      <w:r w:rsidRPr="00227D8F">
        <w:rPr>
          <w:sz w:val="16"/>
        </w:rPr>
        <w:t xml:space="preserve">, F. (2010). Reporte de caso y serie de casos: una aproximación para el pregrado. </w:t>
      </w:r>
      <w:r w:rsidRPr="00053D09">
        <w:rPr>
          <w:sz w:val="16"/>
          <w:lang w:val="en-US"/>
        </w:rPr>
        <w:t xml:space="preserve">CIMEL </w:t>
      </w:r>
      <w:proofErr w:type="spellStart"/>
      <w:r w:rsidRPr="00053D09">
        <w:rPr>
          <w:sz w:val="16"/>
          <w:lang w:val="en-US"/>
        </w:rPr>
        <w:t>Ciencia</w:t>
      </w:r>
      <w:proofErr w:type="spellEnd"/>
      <w:r w:rsidRPr="00053D09">
        <w:rPr>
          <w:sz w:val="16"/>
          <w:lang w:val="en-US"/>
        </w:rPr>
        <w:t xml:space="preserve"> e </w:t>
      </w:r>
      <w:proofErr w:type="spellStart"/>
      <w:r w:rsidRPr="00053D09">
        <w:rPr>
          <w:sz w:val="16"/>
          <w:lang w:val="en-US"/>
        </w:rPr>
        <w:t>Investigación</w:t>
      </w:r>
      <w:proofErr w:type="spellEnd"/>
      <w:r w:rsidRPr="00053D09">
        <w:rPr>
          <w:sz w:val="16"/>
          <w:lang w:val="en-US"/>
        </w:rPr>
        <w:t xml:space="preserve"> Médica Estudiantil Latinoamericana, 15(1). </w:t>
      </w:r>
    </w:p>
  </w:footnote>
  <w:footnote w:id="4">
    <w:p w14:paraId="3044A822" w14:textId="77777777" w:rsidR="00C362DF" w:rsidRPr="00C362DF" w:rsidRDefault="00C362DF" w:rsidP="00C362DF">
      <w:pPr>
        <w:numPr>
          <w:ilvl w:val="0"/>
          <w:numId w:val="2"/>
        </w:numPr>
        <w:spacing w:after="14" w:line="256" w:lineRule="auto"/>
        <w:ind w:right="0" w:hanging="283"/>
        <w:rPr>
          <w:sz w:val="16"/>
          <w:lang w:val="en-US"/>
        </w:rPr>
      </w:pPr>
      <w:r w:rsidRPr="00C362DF">
        <w:rPr>
          <w:sz w:val="16"/>
        </w:rPr>
        <w:t xml:space="preserve">Ley de Protección de la Persona frente al Tratamiento de sus Datos Personales. </w:t>
      </w:r>
      <w:r w:rsidRPr="00C362DF">
        <w:rPr>
          <w:sz w:val="16"/>
          <w:lang w:val="en-US"/>
        </w:rPr>
        <w:t xml:space="preserve">Ley N. 8968 </w:t>
      </w:r>
    </w:p>
    <w:p w14:paraId="7A17B934" w14:textId="2B372BDF" w:rsidR="001117C0" w:rsidRPr="00637E82" w:rsidRDefault="00C362DF" w:rsidP="00637E82">
      <w:pPr>
        <w:numPr>
          <w:ilvl w:val="0"/>
          <w:numId w:val="2"/>
        </w:numPr>
        <w:spacing w:after="14" w:line="256" w:lineRule="auto"/>
        <w:ind w:right="0" w:hanging="283"/>
        <w:rPr>
          <w:sz w:val="16"/>
        </w:rPr>
      </w:pPr>
      <w:r w:rsidRPr="00637E82">
        <w:rPr>
          <w:sz w:val="16"/>
        </w:rPr>
        <w:t>Se puede tomar como referencia los 18 identificadores de la regulación de los Estados Unidos (</w:t>
      </w:r>
      <w:proofErr w:type="spellStart"/>
      <w:r w:rsidRPr="00637E82">
        <w:rPr>
          <w:sz w:val="16"/>
        </w:rPr>
        <w:t>The</w:t>
      </w:r>
      <w:proofErr w:type="spellEnd"/>
      <w:r w:rsidRPr="00637E82">
        <w:rPr>
          <w:sz w:val="16"/>
        </w:rPr>
        <w:t xml:space="preserve"> 18 </w:t>
      </w:r>
      <w:proofErr w:type="spellStart"/>
      <w:r w:rsidRPr="00637E82">
        <w:rPr>
          <w:sz w:val="16"/>
        </w:rPr>
        <w:t>HIPAA</w:t>
      </w:r>
      <w:proofErr w:type="spellEnd"/>
      <w:r w:rsidRPr="00637E82">
        <w:rPr>
          <w:sz w:val="16"/>
        </w:rPr>
        <w:t xml:space="preserve"> </w:t>
      </w:r>
      <w:proofErr w:type="spellStart"/>
      <w:r w:rsidRPr="00637E82">
        <w:rPr>
          <w:sz w:val="16"/>
        </w:rPr>
        <w:t>Identifiers</w:t>
      </w:r>
      <w:proofErr w:type="spellEnd"/>
      <w:r w:rsidRPr="00637E82">
        <w:rPr>
          <w:sz w:val="16"/>
        </w:rPr>
        <w:t xml:space="preserve">. The Health </w:t>
      </w:r>
      <w:proofErr w:type="spellStart"/>
      <w:r w:rsidRPr="00637E82">
        <w:rPr>
          <w:sz w:val="16"/>
        </w:rPr>
        <w:t>Insurance</w:t>
      </w:r>
      <w:proofErr w:type="spellEnd"/>
      <w:r w:rsidRPr="00637E82">
        <w:rPr>
          <w:sz w:val="16"/>
        </w:rPr>
        <w:t xml:space="preserve"> </w:t>
      </w:r>
      <w:proofErr w:type="spellStart"/>
      <w:r w:rsidRPr="00637E82">
        <w:rPr>
          <w:sz w:val="16"/>
        </w:rPr>
        <w:t>Portability</w:t>
      </w:r>
      <w:proofErr w:type="spellEnd"/>
      <w:r w:rsidRPr="00637E82">
        <w:rPr>
          <w:sz w:val="16"/>
        </w:rPr>
        <w:t xml:space="preserve"> and </w:t>
      </w:r>
      <w:proofErr w:type="spellStart"/>
      <w:r w:rsidRPr="00637E82">
        <w:rPr>
          <w:sz w:val="16"/>
        </w:rPr>
        <w:t>Accountability</w:t>
      </w:r>
      <w:proofErr w:type="spellEnd"/>
      <w:r w:rsidRPr="00637E82">
        <w:rPr>
          <w:sz w:val="16"/>
        </w:rPr>
        <w:t xml:space="preserve"> </w:t>
      </w:r>
      <w:proofErr w:type="spellStart"/>
      <w:r w:rsidRPr="00637E82">
        <w:rPr>
          <w:sz w:val="16"/>
        </w:rPr>
        <w:t>Act</w:t>
      </w:r>
      <w:proofErr w:type="spellEnd"/>
      <w:r w:rsidRPr="00637E82">
        <w:rPr>
          <w:sz w:val="16"/>
        </w:rPr>
        <w:t xml:space="preserve"> (</w:t>
      </w:r>
      <w:proofErr w:type="spellStart"/>
      <w:r w:rsidRPr="00637E82">
        <w:rPr>
          <w:sz w:val="16"/>
        </w:rPr>
        <w:t>HIPAA</w:t>
      </w:r>
      <w:proofErr w:type="spellEnd"/>
      <w:r w:rsidRPr="00637E82">
        <w:rPr>
          <w:sz w:val="16"/>
        </w:rPr>
        <w:t>). USA 1996.</w:t>
      </w:r>
    </w:p>
  </w:footnote>
  <w:footnote w:id="5">
    <w:p w14:paraId="2E2970B3" w14:textId="12786844" w:rsidR="00DB30A1" w:rsidRPr="00637E82" w:rsidRDefault="00DB30A1" w:rsidP="00252E0A">
      <w:pPr>
        <w:keepLines/>
        <w:spacing w:after="0" w:line="240" w:lineRule="auto"/>
        <w:ind w:left="0" w:right="0" w:firstLine="0"/>
        <w:rPr>
          <w:sz w:val="16"/>
          <w:lang w:val="en-US"/>
        </w:rPr>
      </w:pPr>
    </w:p>
  </w:footnote>
  <w:footnote w:id="6">
    <w:p w14:paraId="7B91B348" w14:textId="4C165DA8" w:rsidR="001117C0" w:rsidRPr="00637E82" w:rsidRDefault="001117C0" w:rsidP="00637E82">
      <w:pPr>
        <w:keepLines/>
        <w:spacing w:after="0" w:line="240" w:lineRule="auto"/>
        <w:ind w:left="0" w:right="0" w:firstLine="0"/>
        <w:rPr>
          <w:sz w:val="16"/>
          <w:lang w:val="en-US"/>
        </w:rPr>
      </w:pPr>
    </w:p>
  </w:footnote>
  <w:footnote w:id="7">
    <w:p w14:paraId="325267A1" w14:textId="65BD6E6D" w:rsidR="00453818" w:rsidRPr="00A94A15" w:rsidRDefault="002346D8">
      <w:pPr>
        <w:pStyle w:val="footnotedescription"/>
        <w:spacing w:after="9" w:line="258" w:lineRule="auto"/>
        <w:rPr>
          <w:lang w:val="en-US"/>
        </w:rPr>
      </w:pPr>
      <w:r>
        <w:rPr>
          <w:rStyle w:val="footnotemark"/>
        </w:rPr>
        <w:footnoteRef/>
      </w:r>
      <w:r w:rsidRPr="00A94A15">
        <w:rPr>
          <w:lang w:val="pt-BR"/>
        </w:rPr>
        <w:t xml:space="preserve"> </w:t>
      </w:r>
      <w:proofErr w:type="spellStart"/>
      <w:r w:rsidRPr="00A94A15">
        <w:rPr>
          <w:lang w:val="pt-BR"/>
        </w:rPr>
        <w:t>Terrasa</w:t>
      </w:r>
      <w:proofErr w:type="spellEnd"/>
      <w:r w:rsidRPr="00A94A15">
        <w:rPr>
          <w:lang w:val="pt-BR"/>
        </w:rPr>
        <w:t xml:space="preserve"> S, </w:t>
      </w:r>
      <w:proofErr w:type="spellStart"/>
      <w:r w:rsidRPr="00A94A15">
        <w:rPr>
          <w:lang w:val="pt-BR"/>
        </w:rPr>
        <w:t>Caccavo</w:t>
      </w:r>
      <w:proofErr w:type="spellEnd"/>
      <w:r w:rsidRPr="00A94A15">
        <w:rPr>
          <w:lang w:val="pt-BR"/>
        </w:rPr>
        <w:t xml:space="preserve"> T, Ferraris J, </w:t>
      </w:r>
      <w:proofErr w:type="spellStart"/>
      <w:r w:rsidRPr="00A94A15">
        <w:rPr>
          <w:lang w:val="pt-BR"/>
        </w:rPr>
        <w:t>Fescina</w:t>
      </w:r>
      <w:proofErr w:type="spellEnd"/>
      <w:r w:rsidRPr="00A94A15">
        <w:rPr>
          <w:lang w:val="pt-BR"/>
        </w:rPr>
        <w:t xml:space="preserve"> T, </w:t>
      </w:r>
      <w:proofErr w:type="spellStart"/>
      <w:r w:rsidRPr="00A94A15">
        <w:rPr>
          <w:lang w:val="pt-BR"/>
        </w:rPr>
        <w:t>Fuertes</w:t>
      </w:r>
      <w:proofErr w:type="spellEnd"/>
      <w:r w:rsidRPr="00A94A15">
        <w:rPr>
          <w:lang w:val="pt-BR"/>
        </w:rPr>
        <w:t xml:space="preserve"> E, Gómez M, et al. </w:t>
      </w:r>
      <w:r>
        <w:t xml:space="preserve">El reporte de un caso y las series de casos. </w:t>
      </w:r>
      <w:r w:rsidRPr="00A94A15">
        <w:rPr>
          <w:lang w:val="en-US"/>
        </w:rPr>
        <w:t xml:space="preserve">Evid. actual. práct. ambul 2007; 10(1): 19-22. </w:t>
      </w:r>
    </w:p>
  </w:footnote>
  <w:footnote w:id="8">
    <w:p w14:paraId="1E5E5CB7" w14:textId="55278818" w:rsidR="00453818" w:rsidRPr="00AA310A" w:rsidRDefault="002346D8">
      <w:pPr>
        <w:pStyle w:val="footnotedescription"/>
        <w:spacing w:after="0" w:line="232" w:lineRule="auto"/>
        <w:rPr>
          <w:lang w:val="en-US"/>
        </w:rPr>
      </w:pPr>
      <w:r>
        <w:rPr>
          <w:rStyle w:val="footnotemark"/>
        </w:rPr>
        <w:footnoteRef/>
      </w:r>
      <w:r w:rsidRPr="00A94A15">
        <w:rPr>
          <w:lang w:val="en-US"/>
        </w:rPr>
        <w:t xml:space="preserve"> </w:t>
      </w:r>
      <w:proofErr w:type="spellStart"/>
      <w:r w:rsidRPr="00A94A15">
        <w:rPr>
          <w:lang w:val="en-US"/>
        </w:rPr>
        <w:t>Albrechta</w:t>
      </w:r>
      <w:proofErr w:type="spellEnd"/>
      <w:r w:rsidRPr="00A94A15">
        <w:rPr>
          <w:lang w:val="en-US"/>
        </w:rPr>
        <w:t xml:space="preserve"> J, </w:t>
      </w:r>
      <w:proofErr w:type="spellStart"/>
      <w:r w:rsidRPr="00A94A15">
        <w:rPr>
          <w:lang w:val="en-US"/>
        </w:rPr>
        <w:t>Mevesb</w:t>
      </w:r>
      <w:proofErr w:type="spellEnd"/>
      <w:r w:rsidRPr="00A94A15">
        <w:rPr>
          <w:lang w:val="en-US"/>
        </w:rPr>
        <w:t xml:space="preserve"> A, Bigby M. Case reports and case series from Lancet had significant impact on medical literature. </w:t>
      </w:r>
      <w:r w:rsidRPr="00AA310A">
        <w:rPr>
          <w:lang w:val="en-US"/>
        </w:rPr>
        <w:t>Journal of Clinical Epidemiology. (2005) 1227–1232.</w:t>
      </w:r>
      <w:r w:rsidRPr="00AA310A">
        <w:rPr>
          <w:sz w:val="20"/>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F9E75" w14:textId="77777777" w:rsidR="002A529F" w:rsidRDefault="002A529F" w:rsidP="002A529F">
    <w:pPr>
      <w:spacing w:after="0" w:line="259" w:lineRule="auto"/>
      <w:ind w:left="824" w:right="0" w:firstLine="0"/>
      <w:jc w:val="left"/>
    </w:pPr>
    <w:r>
      <w:rPr>
        <w:noProof/>
      </w:rPr>
      <w:drawing>
        <wp:anchor distT="0" distB="0" distL="114300" distR="114300" simplePos="0" relativeHeight="251659264" behindDoc="0" locked="0" layoutInCell="1" allowOverlap="0" wp14:anchorId="1DA02B86" wp14:editId="24B27B3D">
          <wp:simplePos x="0" y="0"/>
          <wp:positionH relativeFrom="column">
            <wp:posOffset>35941</wp:posOffset>
          </wp:positionH>
          <wp:positionV relativeFrom="paragraph">
            <wp:posOffset>445</wp:posOffset>
          </wp:positionV>
          <wp:extent cx="445135" cy="452120"/>
          <wp:effectExtent l="0" t="0" r="0" b="0"/>
          <wp:wrapSquare wrapText="bothSides"/>
          <wp:docPr id="1201011883" name="Picture 24"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34362052" name="Picture 24" descr="Logotipo&#10;&#10;Descripción generada automáticamente"/>
                  <pic:cNvPicPr/>
                </pic:nvPicPr>
                <pic:blipFill>
                  <a:blip r:embed="rId1"/>
                  <a:stretch>
                    <a:fillRect/>
                  </a:stretch>
                </pic:blipFill>
                <pic:spPr>
                  <a:xfrm>
                    <a:off x="0" y="0"/>
                    <a:ext cx="445135" cy="452120"/>
                  </a:xfrm>
                  <a:prstGeom prst="rect">
                    <a:avLst/>
                  </a:prstGeom>
                </pic:spPr>
              </pic:pic>
            </a:graphicData>
          </a:graphic>
        </wp:anchor>
      </w:drawing>
    </w:r>
    <w:r>
      <w:rPr>
        <w:rFonts w:ascii="Arial" w:eastAsia="Arial" w:hAnsi="Arial" w:cs="Arial"/>
        <w:b/>
        <w:sz w:val="18"/>
      </w:rPr>
      <w:t xml:space="preserve">CAJA COSTARRICENSE DE SEGURO SOCIAL </w:t>
    </w:r>
  </w:p>
  <w:p w14:paraId="51BED65B" w14:textId="77777777" w:rsidR="002A529F" w:rsidRDefault="002A529F" w:rsidP="002A529F">
    <w:pPr>
      <w:spacing w:after="0" w:line="249" w:lineRule="auto"/>
      <w:ind w:left="-5" w:right="4306" w:hanging="10"/>
      <w:jc w:val="left"/>
    </w:pPr>
    <w:r>
      <w:rPr>
        <w:rFonts w:ascii="Arial" w:eastAsia="Arial" w:hAnsi="Arial" w:cs="Arial"/>
        <w:sz w:val="18"/>
      </w:rPr>
      <w:t xml:space="preserve">Centro de Desarrollo Estratégico e Información en Salud y Seguridad Social (CENDEISSS) </w:t>
    </w:r>
  </w:p>
  <w:p w14:paraId="21323175" w14:textId="4A922441" w:rsidR="002A529F" w:rsidRDefault="002A529F" w:rsidP="002A529F">
    <w:pPr>
      <w:tabs>
        <w:tab w:val="center" w:pos="2818"/>
      </w:tabs>
      <w:spacing w:after="142" w:line="249" w:lineRule="auto"/>
      <w:ind w:left="-15" w:right="0" w:firstLine="0"/>
      <w:jc w:val="left"/>
    </w:pPr>
    <w:r>
      <w:rPr>
        <w:sz w:val="3"/>
        <w:vertAlign w:val="superscript"/>
      </w:rPr>
      <w:t>|</w:t>
    </w:r>
    <w:r>
      <w:rPr>
        <w:rFonts w:ascii="Garamond" w:eastAsia="Garamond" w:hAnsi="Garamond" w:cs="Garamond"/>
        <w:b/>
        <w:sz w:val="3"/>
        <w:vertAlign w:val="superscript"/>
      </w:rPr>
      <w:t xml:space="preserve"> </w:t>
    </w:r>
    <w:r>
      <w:rPr>
        <w:rFonts w:ascii="Garamond" w:eastAsia="Garamond" w:hAnsi="Garamond" w:cs="Garamond"/>
        <w:b/>
        <w:sz w:val="3"/>
        <w:vertAlign w:val="superscript"/>
      </w:rPr>
      <w:tab/>
    </w:r>
    <w:r>
      <w:rPr>
        <w:rFonts w:ascii="Arial" w:eastAsia="Arial" w:hAnsi="Arial" w:cs="Arial"/>
        <w:sz w:val="18"/>
      </w:rPr>
      <w:t xml:space="preserve">Teléfono: 2519-3046 / 3087 / Correo: </w:t>
    </w:r>
    <w:hyperlink r:id="rId2" w:history="1">
      <w:proofErr w:type="spellStart"/>
      <w:r w:rsidRPr="0073371E">
        <w:rPr>
          <w:rStyle w:val="Hipervnculo"/>
          <w:rFonts w:ascii="Arial" w:eastAsia="Arial" w:hAnsi="Arial" w:cs="Arial"/>
          <w:sz w:val="18"/>
        </w:rPr>
        <w:t>coinccss@ccss.sa.cr</w:t>
      </w:r>
      <w:proofErr w:type="spellEnd"/>
    </w:hyperlink>
  </w:p>
  <w:p w14:paraId="7B9225CA" w14:textId="77777777" w:rsidR="002A529F" w:rsidRDefault="002A529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217C58"/>
    <w:multiLevelType w:val="hybridMultilevel"/>
    <w:tmpl w:val="15188966"/>
    <w:lvl w:ilvl="0" w:tplc="B220E3C0">
      <w:start w:val="1"/>
      <w:numFmt w:val="decimal"/>
      <w:lvlText w:val="%1"/>
      <w:lvlJc w:val="left"/>
      <w:pPr>
        <w:ind w:left="1092"/>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1" w:tplc="DBC0F588">
      <w:start w:val="1"/>
      <w:numFmt w:val="bullet"/>
      <w:lvlText w:val="•"/>
      <w:lvlJc w:val="left"/>
      <w:pPr>
        <w:ind w:left="1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0A45302">
      <w:start w:val="1"/>
      <w:numFmt w:val="bullet"/>
      <w:lvlText w:val="▪"/>
      <w:lvlJc w:val="left"/>
      <w:pPr>
        <w:ind w:left="2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21669EA">
      <w:start w:val="1"/>
      <w:numFmt w:val="bullet"/>
      <w:lvlText w:val="•"/>
      <w:lvlJc w:val="left"/>
      <w:pPr>
        <w:ind w:left="2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76903E">
      <w:start w:val="1"/>
      <w:numFmt w:val="bullet"/>
      <w:lvlText w:val="o"/>
      <w:lvlJc w:val="left"/>
      <w:pPr>
        <w:ind w:left="3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440906">
      <w:start w:val="1"/>
      <w:numFmt w:val="bullet"/>
      <w:lvlText w:val="▪"/>
      <w:lvlJc w:val="left"/>
      <w:pPr>
        <w:ind w:left="4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F6F642">
      <w:start w:val="1"/>
      <w:numFmt w:val="bullet"/>
      <w:lvlText w:val="•"/>
      <w:lvlJc w:val="left"/>
      <w:pPr>
        <w:ind w:left="5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08B5B2">
      <w:start w:val="1"/>
      <w:numFmt w:val="bullet"/>
      <w:lvlText w:val="o"/>
      <w:lvlJc w:val="left"/>
      <w:pPr>
        <w:ind w:left="5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04326E">
      <w:start w:val="1"/>
      <w:numFmt w:val="bullet"/>
      <w:lvlText w:val="▪"/>
      <w:lvlJc w:val="left"/>
      <w:pPr>
        <w:ind w:left="6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BD66BA3"/>
    <w:multiLevelType w:val="hybridMultilevel"/>
    <w:tmpl w:val="2D16F77C"/>
    <w:lvl w:ilvl="0" w:tplc="E646C2AC">
      <w:start w:val="1"/>
      <w:numFmt w:val="bullet"/>
      <w:lvlText w:val="•"/>
      <w:lvlJc w:val="left"/>
      <w:pPr>
        <w:ind w:left="1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A4F8D2">
      <w:start w:val="1"/>
      <w:numFmt w:val="bullet"/>
      <w:lvlText w:val="o"/>
      <w:lvlJc w:val="left"/>
      <w:pPr>
        <w:ind w:left="2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E946E82">
      <w:start w:val="1"/>
      <w:numFmt w:val="bullet"/>
      <w:lvlText w:val="▪"/>
      <w:lvlJc w:val="left"/>
      <w:pPr>
        <w:ind w:left="29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452A748">
      <w:start w:val="1"/>
      <w:numFmt w:val="bullet"/>
      <w:lvlText w:val="•"/>
      <w:lvlJc w:val="left"/>
      <w:pPr>
        <w:ind w:left="3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B06C8A">
      <w:start w:val="1"/>
      <w:numFmt w:val="bullet"/>
      <w:lvlText w:val="o"/>
      <w:lvlJc w:val="left"/>
      <w:pPr>
        <w:ind w:left="4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FCBF7E">
      <w:start w:val="1"/>
      <w:numFmt w:val="bullet"/>
      <w:lvlText w:val="▪"/>
      <w:lvlJc w:val="left"/>
      <w:pPr>
        <w:ind w:left="51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2A6D43A">
      <w:start w:val="1"/>
      <w:numFmt w:val="bullet"/>
      <w:lvlText w:val="•"/>
      <w:lvlJc w:val="left"/>
      <w:pPr>
        <w:ind w:left="5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0E43E4">
      <w:start w:val="1"/>
      <w:numFmt w:val="bullet"/>
      <w:lvlText w:val="o"/>
      <w:lvlJc w:val="left"/>
      <w:pPr>
        <w:ind w:left="6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D84B2E">
      <w:start w:val="1"/>
      <w:numFmt w:val="bullet"/>
      <w:lvlText w:val="▪"/>
      <w:lvlJc w:val="left"/>
      <w:pPr>
        <w:ind w:left="73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329985942">
    <w:abstractNumId w:val="1"/>
  </w:num>
  <w:num w:numId="2" w16cid:durableId="255947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818"/>
    <w:rsid w:val="000132B7"/>
    <w:rsid w:val="00053D09"/>
    <w:rsid w:val="001117C0"/>
    <w:rsid w:val="0013701A"/>
    <w:rsid w:val="00227D8F"/>
    <w:rsid w:val="002346D8"/>
    <w:rsid w:val="00252E0A"/>
    <w:rsid w:val="00275FF5"/>
    <w:rsid w:val="002A529F"/>
    <w:rsid w:val="00453818"/>
    <w:rsid w:val="005571FD"/>
    <w:rsid w:val="00637E82"/>
    <w:rsid w:val="007B7477"/>
    <w:rsid w:val="0097773A"/>
    <w:rsid w:val="00A16120"/>
    <w:rsid w:val="00A94A15"/>
    <w:rsid w:val="00AA310A"/>
    <w:rsid w:val="00BE31C7"/>
    <w:rsid w:val="00C362DF"/>
    <w:rsid w:val="00D904D0"/>
    <w:rsid w:val="00DB30A1"/>
    <w:rsid w:val="00DB6B42"/>
    <w:rsid w:val="00E07BFE"/>
    <w:rsid w:val="00EF4FF4"/>
    <w:rsid w:val="00F26D8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2CEED"/>
  <w15:docId w15:val="{262BEB00-EEE1-48AB-9DF1-F49A3A44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R" w:eastAsia="es-C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7" w:line="285" w:lineRule="auto"/>
      <w:ind w:left="1194" w:right="2" w:hanging="370"/>
      <w:jc w:val="both"/>
    </w:pPr>
    <w:rPr>
      <w:rFonts w:ascii="Calibri" w:eastAsia="Calibri" w:hAnsi="Calibri" w:cs="Calibri"/>
      <w:color w:val="000000"/>
      <w:sz w:val="22"/>
    </w:rPr>
  </w:style>
  <w:style w:type="paragraph" w:styleId="Ttulo8">
    <w:name w:val="heading 8"/>
    <w:basedOn w:val="Normal"/>
    <w:next w:val="Normal"/>
    <w:link w:val="Ttulo8Car"/>
    <w:uiPriority w:val="9"/>
    <w:semiHidden/>
    <w:unhideWhenUsed/>
    <w:qFormat/>
    <w:rsid w:val="000132B7"/>
    <w:pPr>
      <w:keepNext/>
      <w:keepLines/>
      <w:spacing w:after="0" w:line="276" w:lineRule="auto"/>
      <w:ind w:left="0" w:right="0" w:firstLine="0"/>
      <w:jc w:val="left"/>
      <w:outlineLvl w:val="7"/>
    </w:pPr>
    <w:rPr>
      <w:rFonts w:asciiTheme="minorHAnsi" w:eastAsiaTheme="majorEastAsia" w:hAnsiTheme="minorHAnsi" w:cstheme="majorBidi"/>
      <w:i/>
      <w:iCs/>
      <w:color w:val="272727" w:themeColor="text1" w:themeTint="D8"/>
      <w:kern w:val="0"/>
      <w:szCs w:val="22"/>
      <w:lang w:eastAsia="en-U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4" w:line="245" w:lineRule="auto"/>
      <w:ind w:left="1107" w:hanging="283"/>
      <w:jc w:val="both"/>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footnotemark">
    <w:name w:val="footnote mark"/>
    <w:hidden/>
    <w:rPr>
      <w:rFonts w:ascii="Calibri" w:eastAsia="Calibri" w:hAnsi="Calibri" w:cs="Calibri"/>
      <w:color w:val="000000"/>
      <w:sz w:val="16"/>
      <w:vertAlign w:val="superscript"/>
    </w:rPr>
  </w:style>
  <w:style w:type="character" w:styleId="Hipervnculo">
    <w:name w:val="Hyperlink"/>
    <w:basedOn w:val="Fuentedeprrafopredeter"/>
    <w:uiPriority w:val="99"/>
    <w:unhideWhenUsed/>
    <w:rsid w:val="007B7477"/>
    <w:rPr>
      <w:color w:val="467886" w:themeColor="hyperlink"/>
      <w:u w:val="single"/>
    </w:rPr>
  </w:style>
  <w:style w:type="character" w:styleId="Mencinsinresolver">
    <w:name w:val="Unresolved Mention"/>
    <w:basedOn w:val="Fuentedeprrafopredeter"/>
    <w:uiPriority w:val="99"/>
    <w:semiHidden/>
    <w:unhideWhenUsed/>
    <w:rsid w:val="007B7477"/>
    <w:rPr>
      <w:color w:val="605E5C"/>
      <w:shd w:val="clear" w:color="auto" w:fill="E1DFDD"/>
    </w:rPr>
  </w:style>
  <w:style w:type="paragraph" w:styleId="Encabezado">
    <w:name w:val="header"/>
    <w:basedOn w:val="Normal"/>
    <w:link w:val="EncabezadoCar"/>
    <w:uiPriority w:val="99"/>
    <w:unhideWhenUsed/>
    <w:rsid w:val="002A52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529F"/>
    <w:rPr>
      <w:rFonts w:ascii="Calibri" w:eastAsia="Calibri" w:hAnsi="Calibri" w:cs="Calibri"/>
      <w:color w:val="000000"/>
      <w:sz w:val="22"/>
    </w:rPr>
  </w:style>
  <w:style w:type="paragraph" w:styleId="Piedepgina">
    <w:name w:val="footer"/>
    <w:basedOn w:val="Normal"/>
    <w:link w:val="PiedepginaCar"/>
    <w:uiPriority w:val="99"/>
    <w:unhideWhenUsed/>
    <w:rsid w:val="002A52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529F"/>
    <w:rPr>
      <w:rFonts w:ascii="Calibri" w:eastAsia="Calibri" w:hAnsi="Calibri" w:cs="Calibri"/>
      <w:color w:val="000000"/>
      <w:sz w:val="22"/>
    </w:rPr>
  </w:style>
  <w:style w:type="paragraph" w:styleId="Textonotapie">
    <w:name w:val="footnote text"/>
    <w:basedOn w:val="Normal"/>
    <w:link w:val="TextonotapieCar"/>
    <w:uiPriority w:val="99"/>
    <w:semiHidden/>
    <w:unhideWhenUsed/>
    <w:rsid w:val="005571F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571FD"/>
    <w:rPr>
      <w:rFonts w:ascii="Calibri" w:eastAsia="Calibri" w:hAnsi="Calibri" w:cs="Calibri"/>
      <w:color w:val="000000"/>
      <w:sz w:val="20"/>
      <w:szCs w:val="20"/>
    </w:rPr>
  </w:style>
  <w:style w:type="character" w:styleId="Refdenotaalpie">
    <w:name w:val="footnote reference"/>
    <w:basedOn w:val="Fuentedeprrafopredeter"/>
    <w:uiPriority w:val="99"/>
    <w:semiHidden/>
    <w:unhideWhenUsed/>
    <w:rsid w:val="005571FD"/>
    <w:rPr>
      <w:vertAlign w:val="superscript"/>
    </w:rPr>
  </w:style>
  <w:style w:type="character" w:customStyle="1" w:styleId="Ttulo8Car">
    <w:name w:val="Título 8 Car"/>
    <w:basedOn w:val="Fuentedeprrafopredeter"/>
    <w:link w:val="Ttulo8"/>
    <w:uiPriority w:val="9"/>
    <w:semiHidden/>
    <w:rsid w:val="000132B7"/>
    <w:rPr>
      <w:rFonts w:eastAsiaTheme="majorEastAsia" w:cstheme="majorBidi"/>
      <w:i/>
      <w:iCs/>
      <w:color w:val="272727" w:themeColor="text1" w:themeTint="D8"/>
      <w:kern w:val="0"/>
      <w:sz w:val="22"/>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cendeisss.sa.cr/wp/wp-content/uploads/2017/08/CI-PARA-REPORTE-DE-CASO-6-06-2017-final.docx" TargetMode="External"/><Relationship Id="rId13" Type="http://schemas.openxmlformats.org/officeDocument/2006/relationships/hyperlink" Target="mailto:coinccss@ccss.sa.c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inccss@ccss.sa.cr" TargetMode="External"/><Relationship Id="rId4" Type="http://schemas.openxmlformats.org/officeDocument/2006/relationships/settings" Target="settings.xml"/><Relationship Id="rId9" Type="http://schemas.openxmlformats.org/officeDocument/2006/relationships/hyperlink" Target="http://www.cendeisss.sa.cr/wp/wp-content/uploads/2017/08/CI-PARA-REPORTE-DE-CASO-6-06-2017-final.doc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coinccss@ccss.sa.cr" TargetMode="External"/><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83091-B7F3-47BF-A135-CD41F8390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680</Words>
  <Characters>3744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jevillalo</dc:creator>
  <cp:keywords/>
  <cp:lastModifiedBy>Aderith Milena González Aguilar</cp:lastModifiedBy>
  <cp:revision>17</cp:revision>
  <cp:lastPrinted>2024-11-19T14:43:00Z</cp:lastPrinted>
  <dcterms:created xsi:type="dcterms:W3CDTF">2024-10-21T17:46:00Z</dcterms:created>
  <dcterms:modified xsi:type="dcterms:W3CDTF">2024-11-19T14:43:00Z</dcterms:modified>
</cp:coreProperties>
</file>